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Sävsjö kommunfullmäktige</w:t>
      </w:r>
    </w:p>
    <w:p>
      <w:pPr>
        <w:pStyle w:val="Heading1"/>
      </w:pPr>
      <w:r>
        <w:t xml:space="preserve">Öppen budgetprocess med medborgardialog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Sävsjö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Sävsjö kommun har låg transparens i budgetarbetet enligt SKR:s demokratiindex. Medborgarinflytande är begränsat till enstaka hearingar.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Sävsjö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kommunstyrelsen inför en öppen budgetprocess med minst två medborgardialoger per år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budgetunderlag publiceras på kommunens webbplats 30 dagar före beslut.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medborgarförslag som rör budget prioriteras i kommunstyrelsens beredning.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utvärdering av dialogerna redovisas till kommunfullmäktige.</w:t>
      </w:r>
    </w:p>
    <w:p>
      <w:pPr>
        <w:spacing w:before="360"/>
      </w:pPr>
    </w:p>
    <w:p>
      <w:r>
        <w:t xml:space="preserve">Sävsjö,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Sävsjö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2026-07-14T01:28:46.483Z</dcterms:created>
  <dcterms:modified xsi:type="dcterms:W3CDTF">2026-07-14T01:28:46.483Z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